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数字美妆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7EFB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144524F0"/>
    <w:rsid w:val="161D7830"/>
    <w:rsid w:val="3E1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434</Characters>
  <Lines>0</Lines>
  <Paragraphs>0</Paragraphs>
  <TotalTime>0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2024-11-01T07:00:00Z</dcterms:created>
  <dc:creator>qiaoy</dc:creator>
  <cp:lastModifiedBy>Z.天使</cp:lastModifiedBy>
  <dcterms:modified xsi:type="dcterms:W3CDTF">2025-04-07T03:12:43Z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307CDE9FBE7B41C89E79ACC2F0222EA6_12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